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1B5D3" w14:textId="77777777" w:rsidR="00A2767B" w:rsidRPr="00207FFA" w:rsidRDefault="00D27002" w:rsidP="00D27002">
      <w:pPr>
        <w:jc w:val="center"/>
        <w:rPr>
          <w:rFonts w:ascii="Times New Roman" w:hAnsi="Times New Roman" w:cs="Times New Roman"/>
          <w:b/>
          <w:sz w:val="21"/>
          <w:szCs w:val="21"/>
        </w:rPr>
      </w:pPr>
      <w:r w:rsidRPr="00207FFA">
        <w:rPr>
          <w:rFonts w:ascii="Times New Roman" w:hAnsi="Times New Roman" w:cs="Times New Roman"/>
          <w:b/>
          <w:sz w:val="21"/>
          <w:szCs w:val="21"/>
        </w:rPr>
        <w:t>NURS 5010</w:t>
      </w:r>
    </w:p>
    <w:p w14:paraId="7BC941A8" w14:textId="77777777" w:rsidR="00D27002" w:rsidRPr="00207FFA" w:rsidRDefault="00D27002" w:rsidP="00D27002">
      <w:pPr>
        <w:jc w:val="center"/>
        <w:rPr>
          <w:rFonts w:ascii="Times New Roman" w:hAnsi="Times New Roman" w:cs="Times New Roman"/>
          <w:b/>
          <w:sz w:val="21"/>
          <w:szCs w:val="21"/>
        </w:rPr>
      </w:pPr>
      <w:r w:rsidRPr="00207FFA">
        <w:rPr>
          <w:rFonts w:ascii="Times New Roman" w:hAnsi="Times New Roman" w:cs="Times New Roman"/>
          <w:b/>
          <w:sz w:val="21"/>
          <w:szCs w:val="21"/>
        </w:rPr>
        <w:t>National Health Plan Case Study</w:t>
      </w:r>
    </w:p>
    <w:p w14:paraId="72E8BA59" w14:textId="77777777" w:rsidR="00D27002" w:rsidRPr="00207FFA" w:rsidRDefault="00D27002">
      <w:pPr>
        <w:rPr>
          <w:rFonts w:ascii="Times New Roman" w:hAnsi="Times New Roman" w:cs="Times New Roman"/>
          <w:sz w:val="21"/>
          <w:szCs w:val="21"/>
        </w:rPr>
      </w:pPr>
    </w:p>
    <w:p w14:paraId="6541CCF5" w14:textId="77777777" w:rsidR="00D27002" w:rsidRPr="00207FFA" w:rsidRDefault="00D27002">
      <w:pPr>
        <w:rPr>
          <w:rFonts w:ascii="Times New Roman" w:hAnsi="Times New Roman" w:cs="Times New Roman"/>
          <w:sz w:val="21"/>
          <w:szCs w:val="21"/>
        </w:rPr>
      </w:pPr>
    </w:p>
    <w:tbl>
      <w:tblPr>
        <w:tblStyle w:val="TableGrid"/>
        <w:tblW w:w="0" w:type="auto"/>
        <w:tblLook w:val="04A0" w:firstRow="1" w:lastRow="0" w:firstColumn="1" w:lastColumn="0" w:noHBand="0" w:noVBand="1"/>
      </w:tblPr>
      <w:tblGrid>
        <w:gridCol w:w="2263"/>
        <w:gridCol w:w="2298"/>
        <w:gridCol w:w="2210"/>
        <w:gridCol w:w="2127"/>
        <w:gridCol w:w="2085"/>
        <w:gridCol w:w="1967"/>
      </w:tblGrid>
      <w:tr w:rsidR="00C55532" w:rsidRPr="00207FFA" w14:paraId="139FED8D" w14:textId="77777777" w:rsidTr="00D27002">
        <w:tc>
          <w:tcPr>
            <w:tcW w:w="11173" w:type="dxa"/>
            <w:gridSpan w:val="5"/>
            <w:shd w:val="clear" w:color="auto" w:fill="C0C0C0"/>
          </w:tcPr>
          <w:p w14:paraId="2860D11C" w14:textId="1E4AE276" w:rsidR="00D27002" w:rsidRPr="00207FFA" w:rsidRDefault="00D27002">
            <w:pPr>
              <w:rPr>
                <w:rFonts w:ascii="Times New Roman" w:hAnsi="Times New Roman" w:cs="Times New Roman"/>
                <w:b/>
                <w:sz w:val="21"/>
                <w:szCs w:val="21"/>
              </w:rPr>
            </w:pPr>
            <w:r w:rsidRPr="00207FFA">
              <w:rPr>
                <w:rFonts w:ascii="Times New Roman" w:hAnsi="Times New Roman" w:cs="Times New Roman"/>
                <w:b/>
                <w:sz w:val="21"/>
                <w:szCs w:val="21"/>
              </w:rPr>
              <w:t xml:space="preserve">Country: </w:t>
            </w:r>
            <w:r w:rsidR="000F13E6" w:rsidRPr="00207FFA">
              <w:rPr>
                <w:rFonts w:ascii="Times New Roman" w:hAnsi="Times New Roman" w:cs="Times New Roman"/>
                <w:b/>
                <w:sz w:val="21"/>
                <w:szCs w:val="21"/>
              </w:rPr>
              <w:t xml:space="preserve">Germany </w:t>
            </w:r>
          </w:p>
        </w:tc>
        <w:tc>
          <w:tcPr>
            <w:tcW w:w="2003" w:type="dxa"/>
            <w:shd w:val="clear" w:color="auto" w:fill="C0C0C0"/>
          </w:tcPr>
          <w:p w14:paraId="2542ED8C" w14:textId="77777777" w:rsidR="00D27002" w:rsidRPr="00207FFA" w:rsidRDefault="00D27002">
            <w:pPr>
              <w:rPr>
                <w:rFonts w:ascii="Times New Roman" w:hAnsi="Times New Roman" w:cs="Times New Roman"/>
                <w:sz w:val="21"/>
                <w:szCs w:val="21"/>
              </w:rPr>
            </w:pPr>
          </w:p>
        </w:tc>
      </w:tr>
      <w:tr w:rsidR="00C55532" w:rsidRPr="00207FFA" w14:paraId="21F73B65" w14:textId="77777777" w:rsidTr="00D27002">
        <w:tc>
          <w:tcPr>
            <w:tcW w:w="2313" w:type="dxa"/>
          </w:tcPr>
          <w:p w14:paraId="7968FDF4" w14:textId="77777777" w:rsidR="00D27002" w:rsidRPr="00207FFA" w:rsidRDefault="00D27002">
            <w:pPr>
              <w:rPr>
                <w:rFonts w:ascii="Times New Roman" w:hAnsi="Times New Roman" w:cs="Times New Roman"/>
                <w:b/>
                <w:sz w:val="21"/>
                <w:szCs w:val="21"/>
              </w:rPr>
            </w:pPr>
            <w:r w:rsidRPr="00207FFA">
              <w:rPr>
                <w:rFonts w:ascii="Times New Roman" w:hAnsi="Times New Roman" w:cs="Times New Roman"/>
                <w:b/>
                <w:sz w:val="21"/>
                <w:szCs w:val="21"/>
              </w:rPr>
              <w:t>Description of Nation</w:t>
            </w:r>
          </w:p>
        </w:tc>
        <w:tc>
          <w:tcPr>
            <w:tcW w:w="2310" w:type="dxa"/>
          </w:tcPr>
          <w:p w14:paraId="4BE381A3" w14:textId="77777777" w:rsidR="00D27002" w:rsidRPr="00207FFA" w:rsidRDefault="00D27002">
            <w:pPr>
              <w:rPr>
                <w:rFonts w:ascii="Times New Roman" w:hAnsi="Times New Roman" w:cs="Times New Roman"/>
                <w:b/>
                <w:sz w:val="21"/>
                <w:szCs w:val="21"/>
              </w:rPr>
            </w:pPr>
            <w:r w:rsidRPr="00207FFA">
              <w:rPr>
                <w:rFonts w:ascii="Times New Roman" w:hAnsi="Times New Roman" w:cs="Times New Roman"/>
                <w:b/>
                <w:sz w:val="21"/>
                <w:szCs w:val="21"/>
              </w:rPr>
              <w:t>Summation of Health Plan</w:t>
            </w:r>
          </w:p>
        </w:tc>
        <w:tc>
          <w:tcPr>
            <w:tcW w:w="2251" w:type="dxa"/>
          </w:tcPr>
          <w:p w14:paraId="71F117C3" w14:textId="77777777" w:rsidR="00D27002" w:rsidRPr="00207FFA" w:rsidRDefault="00D27002">
            <w:pPr>
              <w:rPr>
                <w:rFonts w:ascii="Times New Roman" w:hAnsi="Times New Roman" w:cs="Times New Roman"/>
                <w:b/>
                <w:sz w:val="21"/>
                <w:szCs w:val="21"/>
              </w:rPr>
            </w:pPr>
            <w:r w:rsidRPr="00207FFA">
              <w:rPr>
                <w:rFonts w:ascii="Times New Roman" w:hAnsi="Times New Roman" w:cs="Times New Roman"/>
                <w:b/>
                <w:sz w:val="21"/>
                <w:szCs w:val="21"/>
              </w:rPr>
              <w:t>Health Coverage</w:t>
            </w:r>
          </w:p>
        </w:tc>
        <w:tc>
          <w:tcPr>
            <w:tcW w:w="2180" w:type="dxa"/>
          </w:tcPr>
          <w:p w14:paraId="492993F8" w14:textId="77777777" w:rsidR="00D27002" w:rsidRPr="00207FFA" w:rsidRDefault="00D27002">
            <w:pPr>
              <w:rPr>
                <w:rFonts w:ascii="Times New Roman" w:hAnsi="Times New Roman" w:cs="Times New Roman"/>
                <w:b/>
                <w:sz w:val="21"/>
                <w:szCs w:val="21"/>
              </w:rPr>
            </w:pPr>
            <w:r w:rsidRPr="00207FFA">
              <w:rPr>
                <w:rFonts w:ascii="Times New Roman" w:hAnsi="Times New Roman" w:cs="Times New Roman"/>
                <w:b/>
                <w:sz w:val="21"/>
                <w:szCs w:val="21"/>
              </w:rPr>
              <w:t>Access to Care</w:t>
            </w:r>
          </w:p>
        </w:tc>
        <w:tc>
          <w:tcPr>
            <w:tcW w:w="2119" w:type="dxa"/>
          </w:tcPr>
          <w:p w14:paraId="5B1E5BF2" w14:textId="77777777" w:rsidR="00D27002" w:rsidRPr="00207FFA" w:rsidRDefault="00D27002">
            <w:pPr>
              <w:rPr>
                <w:rFonts w:ascii="Times New Roman" w:hAnsi="Times New Roman" w:cs="Times New Roman"/>
                <w:b/>
                <w:sz w:val="21"/>
                <w:szCs w:val="21"/>
              </w:rPr>
            </w:pPr>
            <w:r w:rsidRPr="00207FFA">
              <w:rPr>
                <w:rFonts w:ascii="Times New Roman" w:hAnsi="Times New Roman" w:cs="Times New Roman"/>
                <w:b/>
                <w:sz w:val="21"/>
                <w:szCs w:val="21"/>
              </w:rPr>
              <w:t xml:space="preserve">Cost </w:t>
            </w:r>
          </w:p>
        </w:tc>
        <w:tc>
          <w:tcPr>
            <w:tcW w:w="2003" w:type="dxa"/>
          </w:tcPr>
          <w:p w14:paraId="36BA3E5D" w14:textId="77777777" w:rsidR="00D27002" w:rsidRPr="00207FFA" w:rsidRDefault="00D27002">
            <w:pPr>
              <w:rPr>
                <w:rFonts w:ascii="Times New Roman" w:hAnsi="Times New Roman" w:cs="Times New Roman"/>
                <w:b/>
                <w:sz w:val="21"/>
                <w:szCs w:val="21"/>
              </w:rPr>
            </w:pPr>
            <w:r w:rsidRPr="00207FFA">
              <w:rPr>
                <w:rFonts w:ascii="Times New Roman" w:hAnsi="Times New Roman" w:cs="Times New Roman"/>
                <w:b/>
                <w:sz w:val="21"/>
                <w:szCs w:val="21"/>
              </w:rPr>
              <w:t>Prevention</w:t>
            </w:r>
          </w:p>
        </w:tc>
      </w:tr>
      <w:tr w:rsidR="00C55532" w:rsidRPr="00207FFA" w14:paraId="3A43B44B" w14:textId="77777777" w:rsidTr="00D84050">
        <w:trPr>
          <w:trHeight w:val="101"/>
        </w:trPr>
        <w:tc>
          <w:tcPr>
            <w:tcW w:w="2313" w:type="dxa"/>
          </w:tcPr>
          <w:p w14:paraId="24AE61B8" w14:textId="4715BE1D" w:rsidR="00D27002" w:rsidRPr="00207FFA" w:rsidRDefault="00D84050">
            <w:pPr>
              <w:rPr>
                <w:rFonts w:ascii="Times New Roman" w:hAnsi="Times New Roman" w:cs="Times New Roman"/>
                <w:color w:val="000000" w:themeColor="text1"/>
                <w:sz w:val="21"/>
                <w:szCs w:val="21"/>
              </w:rPr>
            </w:pPr>
            <w:r w:rsidRPr="00207FFA">
              <w:rPr>
                <w:rFonts w:ascii="Times New Roman" w:hAnsi="Times New Roman" w:cs="Times New Roman"/>
                <w:color w:val="000000" w:themeColor="text1"/>
                <w:sz w:val="21"/>
                <w:szCs w:val="21"/>
              </w:rPr>
              <w:t>Germany is a federal parliamentary republic</w:t>
            </w:r>
            <w:r w:rsidR="00624626" w:rsidRPr="00207FFA">
              <w:rPr>
                <w:rFonts w:ascii="Times New Roman" w:hAnsi="Times New Roman" w:cs="Times New Roman"/>
                <w:color w:val="000000" w:themeColor="text1"/>
                <w:sz w:val="21"/>
                <w:szCs w:val="21"/>
              </w:rPr>
              <w:t xml:space="preserve">. </w:t>
            </w:r>
            <w:r w:rsidRPr="00207FFA">
              <w:rPr>
                <w:rFonts w:ascii="Times New Roman" w:hAnsi="Times New Roman" w:cs="Times New Roman"/>
                <w:color w:val="000000" w:themeColor="text1"/>
                <w:sz w:val="21"/>
                <w:szCs w:val="21"/>
              </w:rPr>
              <w:t xml:space="preserve">The </w:t>
            </w:r>
            <w:r w:rsidR="00624626" w:rsidRPr="00207FFA">
              <w:rPr>
                <w:rFonts w:ascii="Times New Roman" w:hAnsi="Times New Roman" w:cs="Times New Roman"/>
                <w:color w:val="000000" w:themeColor="text1"/>
                <w:sz w:val="21"/>
                <w:szCs w:val="21"/>
              </w:rPr>
              <w:t>government</w:t>
            </w:r>
            <w:r w:rsidRPr="00207FFA">
              <w:rPr>
                <w:rFonts w:ascii="Times New Roman" w:hAnsi="Times New Roman" w:cs="Times New Roman"/>
                <w:color w:val="000000" w:themeColor="text1"/>
                <w:sz w:val="21"/>
                <w:szCs w:val="21"/>
              </w:rPr>
              <w:t xml:space="preserve"> has two major political parties (Christian Democratic Union) (CDU) and the Social Democratic Party of Germany (SPD). Germany became a member of the European Union in 1993.  The national </w:t>
            </w:r>
            <w:r w:rsidR="00624626" w:rsidRPr="00207FFA">
              <w:rPr>
                <w:rFonts w:ascii="Times New Roman" w:hAnsi="Times New Roman" w:cs="Times New Roman"/>
                <w:color w:val="000000" w:themeColor="text1"/>
                <w:sz w:val="21"/>
                <w:szCs w:val="21"/>
              </w:rPr>
              <w:t>language</w:t>
            </w:r>
            <w:r w:rsidRPr="00207FFA">
              <w:rPr>
                <w:rFonts w:ascii="Times New Roman" w:hAnsi="Times New Roman" w:cs="Times New Roman"/>
                <w:color w:val="000000" w:themeColor="text1"/>
                <w:sz w:val="21"/>
                <w:szCs w:val="21"/>
              </w:rPr>
              <w:t xml:space="preserve"> is German.  The population is 80.5 million people.</w:t>
            </w:r>
            <w:r w:rsidR="00624626" w:rsidRPr="00207FFA">
              <w:rPr>
                <w:rFonts w:ascii="Times New Roman" w:hAnsi="Times New Roman" w:cs="Times New Roman"/>
                <w:color w:val="000000" w:themeColor="text1"/>
                <w:sz w:val="21"/>
                <w:szCs w:val="21"/>
              </w:rPr>
              <w:t xml:space="preserve"> .  The capital is Berlin.  Germany has the worlds 5</w:t>
            </w:r>
            <w:r w:rsidR="00624626" w:rsidRPr="00207FFA">
              <w:rPr>
                <w:rFonts w:ascii="Times New Roman" w:hAnsi="Times New Roman" w:cs="Times New Roman"/>
                <w:color w:val="000000" w:themeColor="text1"/>
                <w:sz w:val="21"/>
                <w:szCs w:val="21"/>
                <w:vertAlign w:val="superscript"/>
              </w:rPr>
              <w:t>th</w:t>
            </w:r>
            <w:r w:rsidR="00624626" w:rsidRPr="00207FFA">
              <w:rPr>
                <w:rFonts w:ascii="Times New Roman" w:hAnsi="Times New Roman" w:cs="Times New Roman"/>
                <w:color w:val="000000" w:themeColor="text1"/>
                <w:sz w:val="21"/>
                <w:szCs w:val="21"/>
              </w:rPr>
              <w:t xml:space="preserve"> largest economy in the world. Gross Domestic Purchasing Power was $4.4 trillion in 2018. The major religions in the nation are: Roman Catholic, Protestant, Muslim, Orthodox, none. (CIA, 2020).  </w:t>
            </w:r>
          </w:p>
        </w:tc>
        <w:tc>
          <w:tcPr>
            <w:tcW w:w="2310" w:type="dxa"/>
          </w:tcPr>
          <w:p w14:paraId="50E78305" w14:textId="7503CE4A" w:rsidR="00D27002" w:rsidRPr="00207FFA" w:rsidRDefault="0008569A">
            <w:pPr>
              <w:rPr>
                <w:rFonts w:ascii="Times New Roman" w:hAnsi="Times New Roman" w:cs="Times New Roman"/>
                <w:color w:val="000000" w:themeColor="text1"/>
                <w:sz w:val="21"/>
                <w:szCs w:val="21"/>
              </w:rPr>
            </w:pPr>
            <w:r w:rsidRPr="00207FFA">
              <w:rPr>
                <w:rFonts w:ascii="Times New Roman" w:hAnsi="Times New Roman" w:cs="Times New Roman"/>
                <w:color w:val="000000" w:themeColor="text1"/>
                <w:sz w:val="21"/>
                <w:szCs w:val="21"/>
              </w:rPr>
              <w:t xml:space="preserve">Health insurance in Germany is mandatory. </w:t>
            </w:r>
            <w:r w:rsidR="00A72824" w:rsidRPr="00207FFA">
              <w:rPr>
                <w:rFonts w:ascii="Times New Roman" w:hAnsi="Times New Roman" w:cs="Times New Roman"/>
                <w:color w:val="000000" w:themeColor="text1"/>
                <w:sz w:val="21"/>
                <w:szCs w:val="21"/>
              </w:rPr>
              <w:t>“</w:t>
            </w:r>
            <w:r w:rsidR="00A72824" w:rsidRPr="00207FFA">
              <w:rPr>
                <w:rStyle w:val="Emphasis"/>
                <w:rFonts w:ascii="Times New Roman" w:hAnsi="Times New Roman" w:cs="Times New Roman"/>
                <w:color w:val="000000" w:themeColor="text1"/>
                <w:sz w:val="21"/>
                <w:szCs w:val="21"/>
              </w:rPr>
              <w:t>Gesetzliche Krankenversicherung</w:t>
            </w:r>
            <w:r w:rsidR="00A72824" w:rsidRPr="00207FFA">
              <w:rPr>
                <w:rFonts w:ascii="Times New Roman" w:hAnsi="Times New Roman" w:cs="Times New Roman"/>
                <w:color w:val="000000" w:themeColor="text1"/>
                <w:sz w:val="21"/>
                <w:szCs w:val="21"/>
                <w:shd w:val="clear" w:color="auto" w:fill="FFFFFF"/>
              </w:rPr>
              <w:t>: statutory insurance provided by 109 nonprofit “sickness funds," covering 88% of population. High-income individuals and civil servants can opt out for fully substitutive private insurance, which covers 11% of population” (Tikkanen, Osborn, Mossialos, Djordjevic, Wharton, 2020).</w:t>
            </w:r>
            <w:r w:rsidR="00B83463" w:rsidRPr="00207FFA">
              <w:rPr>
                <w:rFonts w:ascii="Times New Roman" w:hAnsi="Times New Roman" w:cs="Times New Roman"/>
                <w:color w:val="000000" w:themeColor="text1"/>
                <w:sz w:val="21"/>
                <w:szCs w:val="21"/>
                <w:shd w:val="clear" w:color="auto" w:fill="FFFFFF"/>
              </w:rPr>
              <w:t xml:space="preserve">  The healthcare system is funded by Sickness funds.  Sickness funds are wages shared by employees and employers where both pay a portion to the fund. “Sickness fund enrollees purchase supplementary or complementary policies covering minor benefits not covered by SHI, </w:t>
            </w:r>
            <w:r w:rsidR="00B83463" w:rsidRPr="00207FFA">
              <w:rPr>
                <w:rFonts w:ascii="Times New Roman" w:hAnsi="Times New Roman" w:cs="Times New Roman"/>
                <w:color w:val="000000" w:themeColor="text1"/>
                <w:sz w:val="21"/>
                <w:szCs w:val="21"/>
                <w:shd w:val="clear" w:color="auto" w:fill="FFFFFF"/>
              </w:rPr>
              <w:lastRenderedPageBreak/>
              <w:t xml:space="preserve">including some copayments and private hospital rooms” (Tikkanen, Osborn, Mossialos, Djordjevic, Wharton, 2020). Insurance is provided by two systems: statutory health insurance plans and statutory Long-term care services.  If a person becomes unemployed, they do not lose their health insurance. </w:t>
            </w:r>
          </w:p>
        </w:tc>
        <w:tc>
          <w:tcPr>
            <w:tcW w:w="2251" w:type="dxa"/>
          </w:tcPr>
          <w:p w14:paraId="78F255E4" w14:textId="06E65380" w:rsidR="002D7C9C" w:rsidRPr="00207FFA" w:rsidRDefault="00DB4363" w:rsidP="002D7C9C">
            <w:pPr>
              <w:pStyle w:val="NormalWeb"/>
              <w:spacing w:before="0" w:beforeAutospacing="0" w:after="188" w:afterAutospacing="0"/>
              <w:rPr>
                <w:color w:val="000000" w:themeColor="text1"/>
                <w:sz w:val="21"/>
                <w:szCs w:val="21"/>
              </w:rPr>
            </w:pPr>
            <w:r w:rsidRPr="00207FFA">
              <w:rPr>
                <w:color w:val="000000" w:themeColor="text1"/>
                <w:sz w:val="21"/>
                <w:szCs w:val="21"/>
              </w:rPr>
              <w:lastRenderedPageBreak/>
              <w:t>SHI covers the following:</w:t>
            </w:r>
            <w:r w:rsidR="002D7C9C" w:rsidRPr="00207FFA">
              <w:rPr>
                <w:color w:val="000000" w:themeColor="text1"/>
                <w:sz w:val="21"/>
                <w:szCs w:val="21"/>
              </w:rPr>
              <w:t xml:space="preserve"> </w:t>
            </w:r>
            <w:r w:rsidRPr="00207FFA">
              <w:rPr>
                <w:color w:val="000000" w:themeColor="text1"/>
                <w:sz w:val="21"/>
                <w:szCs w:val="21"/>
              </w:rPr>
              <w:t>Preventive services, including regular dental checkups, child checkups, basic immunizations, chronic disease checkups, and cancer screenings at certain ages</w:t>
            </w:r>
            <w:r w:rsidR="002D7C9C" w:rsidRPr="00207FFA">
              <w:rPr>
                <w:color w:val="000000" w:themeColor="text1"/>
                <w:sz w:val="21"/>
                <w:szCs w:val="21"/>
              </w:rPr>
              <w:t xml:space="preserve">, </w:t>
            </w:r>
            <w:r w:rsidRPr="00207FFA">
              <w:rPr>
                <w:color w:val="000000" w:themeColor="text1"/>
                <w:sz w:val="21"/>
                <w:szCs w:val="21"/>
              </w:rPr>
              <w:t>Inpatient and outpatient hospital care</w:t>
            </w:r>
            <w:r w:rsidR="002D7C9C" w:rsidRPr="00207FFA">
              <w:rPr>
                <w:color w:val="000000" w:themeColor="text1"/>
                <w:sz w:val="21"/>
                <w:szCs w:val="21"/>
              </w:rPr>
              <w:t xml:space="preserve">, </w:t>
            </w:r>
            <w:r w:rsidRPr="00207FFA">
              <w:rPr>
                <w:color w:val="000000" w:themeColor="text1"/>
                <w:sz w:val="21"/>
                <w:szCs w:val="21"/>
              </w:rPr>
              <w:t>Physician services</w:t>
            </w:r>
            <w:r w:rsidR="002D7C9C" w:rsidRPr="00207FFA">
              <w:rPr>
                <w:color w:val="000000" w:themeColor="text1"/>
                <w:sz w:val="21"/>
                <w:szCs w:val="21"/>
              </w:rPr>
              <w:t xml:space="preserve">, </w:t>
            </w:r>
            <w:r w:rsidRPr="00207FFA">
              <w:rPr>
                <w:color w:val="000000" w:themeColor="text1"/>
                <w:sz w:val="21"/>
                <w:szCs w:val="21"/>
              </w:rPr>
              <w:t>Mental health care</w:t>
            </w:r>
            <w:r w:rsidR="002D7C9C" w:rsidRPr="00207FFA">
              <w:rPr>
                <w:color w:val="000000" w:themeColor="text1"/>
                <w:sz w:val="21"/>
                <w:szCs w:val="21"/>
              </w:rPr>
              <w:t xml:space="preserve">, </w:t>
            </w:r>
            <w:r w:rsidRPr="00207FFA">
              <w:rPr>
                <w:color w:val="000000" w:themeColor="text1"/>
                <w:sz w:val="21"/>
                <w:szCs w:val="21"/>
              </w:rPr>
              <w:t>Dental care</w:t>
            </w:r>
            <w:r w:rsidR="002D7C9C" w:rsidRPr="00207FFA">
              <w:rPr>
                <w:color w:val="000000" w:themeColor="text1"/>
                <w:sz w:val="21"/>
                <w:szCs w:val="21"/>
              </w:rPr>
              <w:t xml:space="preserve">, </w:t>
            </w:r>
            <w:r w:rsidRPr="00207FFA">
              <w:rPr>
                <w:color w:val="000000" w:themeColor="text1"/>
                <w:sz w:val="21"/>
                <w:szCs w:val="21"/>
              </w:rPr>
              <w:t>Optometr</w:t>
            </w:r>
            <w:r w:rsidR="002D7C9C" w:rsidRPr="00207FFA">
              <w:rPr>
                <w:color w:val="000000" w:themeColor="text1"/>
                <w:sz w:val="21"/>
                <w:szCs w:val="21"/>
              </w:rPr>
              <w:t xml:space="preserve">y, </w:t>
            </w:r>
            <w:r w:rsidRPr="00207FFA">
              <w:rPr>
                <w:color w:val="000000" w:themeColor="text1"/>
                <w:sz w:val="21"/>
                <w:szCs w:val="21"/>
              </w:rPr>
              <w:t>Physical therapy</w:t>
            </w:r>
            <w:r w:rsidR="002D7C9C" w:rsidRPr="00207FFA">
              <w:rPr>
                <w:color w:val="000000" w:themeColor="text1"/>
                <w:sz w:val="21"/>
                <w:szCs w:val="21"/>
              </w:rPr>
              <w:t xml:space="preserve">, </w:t>
            </w:r>
            <w:r w:rsidRPr="00207FFA">
              <w:rPr>
                <w:color w:val="000000" w:themeColor="text1"/>
                <w:sz w:val="21"/>
                <w:szCs w:val="21"/>
              </w:rPr>
              <w:t>Prescription drugs, except for those explicitly excluded by law (mainly so-called lifestyle drugs like appetite suppressants) and those excluded following an unfavorable benefit-risk assessment</w:t>
            </w:r>
            <w:r w:rsidR="002D7C9C" w:rsidRPr="00207FFA">
              <w:rPr>
                <w:color w:val="000000" w:themeColor="text1"/>
                <w:sz w:val="21"/>
                <w:szCs w:val="21"/>
              </w:rPr>
              <w:t xml:space="preserve">, </w:t>
            </w:r>
            <w:r w:rsidRPr="00207FFA">
              <w:rPr>
                <w:color w:val="000000" w:themeColor="text1"/>
                <w:sz w:val="21"/>
                <w:szCs w:val="21"/>
              </w:rPr>
              <w:t>Medical aids</w:t>
            </w:r>
            <w:r w:rsidR="002D7C9C" w:rsidRPr="00207FFA">
              <w:rPr>
                <w:color w:val="000000" w:themeColor="text1"/>
                <w:sz w:val="21"/>
                <w:szCs w:val="21"/>
              </w:rPr>
              <w:t xml:space="preserve">, </w:t>
            </w:r>
            <w:r w:rsidRPr="00207FFA">
              <w:rPr>
                <w:color w:val="000000" w:themeColor="text1"/>
                <w:sz w:val="21"/>
                <w:szCs w:val="21"/>
              </w:rPr>
              <w:t>Rehabilitation</w:t>
            </w:r>
            <w:r w:rsidR="002D7C9C" w:rsidRPr="00207FFA">
              <w:rPr>
                <w:color w:val="000000" w:themeColor="text1"/>
                <w:sz w:val="21"/>
                <w:szCs w:val="21"/>
              </w:rPr>
              <w:t xml:space="preserve">, </w:t>
            </w:r>
            <w:r w:rsidRPr="00207FFA">
              <w:rPr>
                <w:color w:val="000000" w:themeColor="text1"/>
                <w:sz w:val="21"/>
                <w:szCs w:val="21"/>
              </w:rPr>
              <w:t>Hospice and palliative care</w:t>
            </w:r>
            <w:r w:rsidR="002D7C9C" w:rsidRPr="00207FFA">
              <w:rPr>
                <w:color w:val="000000" w:themeColor="text1"/>
                <w:sz w:val="21"/>
                <w:szCs w:val="21"/>
              </w:rPr>
              <w:t xml:space="preserve">, </w:t>
            </w:r>
            <w:r w:rsidRPr="00207FFA">
              <w:rPr>
                <w:color w:val="000000" w:themeColor="text1"/>
                <w:sz w:val="21"/>
                <w:szCs w:val="21"/>
              </w:rPr>
              <w:t>Maternity care</w:t>
            </w:r>
            <w:r w:rsidR="002D7C9C" w:rsidRPr="00207FFA">
              <w:rPr>
                <w:color w:val="000000" w:themeColor="text1"/>
                <w:sz w:val="21"/>
                <w:szCs w:val="21"/>
              </w:rPr>
              <w:t xml:space="preserve">, </w:t>
            </w:r>
            <w:r w:rsidRPr="00207FFA">
              <w:rPr>
                <w:color w:val="000000" w:themeColor="text1"/>
                <w:sz w:val="21"/>
                <w:szCs w:val="21"/>
              </w:rPr>
              <w:t>Sick leave compensation.</w:t>
            </w:r>
            <w:r w:rsidR="002D7C9C" w:rsidRPr="00207FFA">
              <w:rPr>
                <w:color w:val="000000" w:themeColor="text1"/>
                <w:sz w:val="21"/>
                <w:szCs w:val="21"/>
              </w:rPr>
              <w:t xml:space="preserve"> Everybody with a </w:t>
            </w:r>
            <w:r w:rsidR="002D7C9C" w:rsidRPr="00207FFA">
              <w:rPr>
                <w:color w:val="000000" w:themeColor="text1"/>
                <w:sz w:val="21"/>
                <w:szCs w:val="21"/>
              </w:rPr>
              <w:lastRenderedPageBreak/>
              <w:t xml:space="preserve">physical or mental illness or disability (who has contributed for at least two years) can apply for LTCI benefits, which are: Dependent on an evaluation of individual care needs by the SHI Medical Review Board, which leads either to a denial of benefits or to an assignment to one of five levels of care. Limited to certain maximum amounts, depending on the level of care. </w:t>
            </w:r>
            <w:r w:rsidR="002D7C9C" w:rsidRPr="00207FFA">
              <w:rPr>
                <w:color w:val="000000" w:themeColor="text1"/>
                <w:sz w:val="21"/>
                <w:szCs w:val="21"/>
                <w:shd w:val="clear" w:color="auto" w:fill="FFFFFF"/>
              </w:rPr>
              <w:t>(</w:t>
            </w:r>
            <w:proofErr w:type="spellStart"/>
            <w:r w:rsidR="002D7C9C" w:rsidRPr="00207FFA">
              <w:rPr>
                <w:color w:val="000000" w:themeColor="text1"/>
                <w:sz w:val="21"/>
                <w:szCs w:val="21"/>
                <w:shd w:val="clear" w:color="auto" w:fill="FFFFFF"/>
              </w:rPr>
              <w:t>Tikkanen</w:t>
            </w:r>
            <w:proofErr w:type="spellEnd"/>
            <w:r w:rsidR="002D7C9C" w:rsidRPr="00207FFA">
              <w:rPr>
                <w:color w:val="000000" w:themeColor="text1"/>
                <w:sz w:val="21"/>
                <w:szCs w:val="21"/>
                <w:shd w:val="clear" w:color="auto" w:fill="FFFFFF"/>
              </w:rPr>
              <w:t xml:space="preserve">, Osborn, </w:t>
            </w:r>
            <w:proofErr w:type="spellStart"/>
            <w:r w:rsidR="002D7C9C" w:rsidRPr="00207FFA">
              <w:rPr>
                <w:color w:val="000000" w:themeColor="text1"/>
                <w:sz w:val="21"/>
                <w:szCs w:val="21"/>
                <w:shd w:val="clear" w:color="auto" w:fill="FFFFFF"/>
              </w:rPr>
              <w:t>Mossialos</w:t>
            </w:r>
            <w:proofErr w:type="spellEnd"/>
            <w:r w:rsidR="002D7C9C" w:rsidRPr="00207FFA">
              <w:rPr>
                <w:color w:val="000000" w:themeColor="text1"/>
                <w:sz w:val="21"/>
                <w:szCs w:val="21"/>
                <w:shd w:val="clear" w:color="auto" w:fill="FFFFFF"/>
              </w:rPr>
              <w:t>, Djordjevic, Wharton, 2020).  According to PBS (2008) belly danc</w:t>
            </w:r>
            <w:r w:rsidR="00207FFA" w:rsidRPr="00207FFA">
              <w:rPr>
                <w:color w:val="000000" w:themeColor="text1"/>
                <w:sz w:val="21"/>
                <w:szCs w:val="21"/>
                <w:shd w:val="clear" w:color="auto" w:fill="FFFFFF"/>
              </w:rPr>
              <w:t>ing lessons</w:t>
            </w:r>
            <w:r w:rsidR="002D7C9C" w:rsidRPr="00207FFA">
              <w:rPr>
                <w:color w:val="000000" w:themeColor="text1"/>
                <w:sz w:val="21"/>
                <w:szCs w:val="21"/>
                <w:shd w:val="clear" w:color="auto" w:fill="FFFFFF"/>
              </w:rPr>
              <w:t xml:space="preserve"> was once approved for a patient, patients can even go to the spa for free.</w:t>
            </w:r>
          </w:p>
          <w:p w14:paraId="03D60058" w14:textId="77777777" w:rsidR="002D7C9C" w:rsidRPr="00207FFA" w:rsidRDefault="002D7C9C" w:rsidP="002D7C9C">
            <w:pPr>
              <w:rPr>
                <w:rFonts w:ascii="Times New Roman" w:hAnsi="Times New Roman" w:cs="Times New Roman"/>
                <w:color w:val="000000" w:themeColor="text1"/>
                <w:sz w:val="21"/>
                <w:szCs w:val="21"/>
              </w:rPr>
            </w:pPr>
          </w:p>
          <w:p w14:paraId="03D625C0" w14:textId="77777777" w:rsidR="00DB4363" w:rsidRPr="00207FFA" w:rsidRDefault="00DB4363" w:rsidP="00DB4363">
            <w:pPr>
              <w:rPr>
                <w:rFonts w:ascii="Times New Roman" w:hAnsi="Times New Roman" w:cs="Times New Roman"/>
                <w:color w:val="000000" w:themeColor="text1"/>
                <w:sz w:val="21"/>
                <w:szCs w:val="21"/>
              </w:rPr>
            </w:pPr>
          </w:p>
          <w:p w14:paraId="5C9A32FA" w14:textId="77777777" w:rsidR="00D27002" w:rsidRPr="00207FFA" w:rsidRDefault="00D27002">
            <w:pPr>
              <w:rPr>
                <w:rFonts w:ascii="Times New Roman" w:hAnsi="Times New Roman" w:cs="Times New Roman"/>
                <w:color w:val="000000" w:themeColor="text1"/>
                <w:sz w:val="21"/>
                <w:szCs w:val="21"/>
              </w:rPr>
            </w:pPr>
          </w:p>
        </w:tc>
        <w:tc>
          <w:tcPr>
            <w:tcW w:w="2180" w:type="dxa"/>
          </w:tcPr>
          <w:p w14:paraId="46753544" w14:textId="31D28AD8" w:rsidR="00D27002" w:rsidRPr="00207FFA" w:rsidRDefault="00AF5C47">
            <w:pPr>
              <w:rPr>
                <w:rFonts w:ascii="Times New Roman" w:hAnsi="Times New Roman" w:cs="Times New Roman"/>
                <w:color w:val="000000" w:themeColor="text1"/>
                <w:sz w:val="21"/>
                <w:szCs w:val="21"/>
              </w:rPr>
            </w:pPr>
            <w:r w:rsidRPr="00207FFA">
              <w:rPr>
                <w:rFonts w:ascii="Times New Roman" w:hAnsi="Times New Roman" w:cs="Times New Roman"/>
                <w:color w:val="000000" w:themeColor="text1"/>
                <w:sz w:val="21"/>
                <w:szCs w:val="21"/>
              </w:rPr>
              <w:lastRenderedPageBreak/>
              <w:t>Access to healthcare in Germany is much like Japan, where the government provides a National System for coverage. “The rich can opt out and purchase private insurance, but 90% of the population chose to remain with the National system” (PBS, 20</w:t>
            </w:r>
            <w:r w:rsidR="00207FFA" w:rsidRPr="00207FFA">
              <w:rPr>
                <w:rFonts w:ascii="Times New Roman" w:hAnsi="Times New Roman" w:cs="Times New Roman"/>
                <w:color w:val="000000" w:themeColor="text1"/>
                <w:sz w:val="21"/>
                <w:szCs w:val="21"/>
              </w:rPr>
              <w:t>08</w:t>
            </w:r>
            <w:r w:rsidRPr="00207FFA">
              <w:rPr>
                <w:rFonts w:ascii="Times New Roman" w:hAnsi="Times New Roman" w:cs="Times New Roman"/>
                <w:color w:val="000000" w:themeColor="text1"/>
                <w:sz w:val="21"/>
                <w:szCs w:val="21"/>
              </w:rPr>
              <w:t xml:space="preserve">). </w:t>
            </w:r>
          </w:p>
          <w:p w14:paraId="22A28AB2" w14:textId="3B6CEAD8" w:rsidR="00AF5C47" w:rsidRPr="00207FFA" w:rsidRDefault="00AF5C47">
            <w:pPr>
              <w:rPr>
                <w:rFonts w:ascii="Times New Roman" w:hAnsi="Times New Roman" w:cs="Times New Roman"/>
                <w:color w:val="000000" w:themeColor="text1"/>
                <w:sz w:val="21"/>
                <w:szCs w:val="21"/>
              </w:rPr>
            </w:pPr>
            <w:r w:rsidRPr="00207FFA">
              <w:rPr>
                <w:rFonts w:ascii="Times New Roman" w:hAnsi="Times New Roman" w:cs="Times New Roman"/>
                <w:color w:val="000000" w:themeColor="text1"/>
                <w:sz w:val="21"/>
                <w:szCs w:val="21"/>
              </w:rPr>
              <w:t xml:space="preserve">Seeing a PCP in Germany can take up to 2 weeks, as where an urgent or sick visit is same day. Specialist visits can take up to two months and elective procedures up to 4 months. </w:t>
            </w:r>
          </w:p>
        </w:tc>
        <w:tc>
          <w:tcPr>
            <w:tcW w:w="2119" w:type="dxa"/>
          </w:tcPr>
          <w:p w14:paraId="50AF9B64" w14:textId="42D024F0" w:rsidR="00D27002" w:rsidRPr="00207FFA" w:rsidRDefault="00FA3F53">
            <w:pPr>
              <w:rPr>
                <w:rFonts w:ascii="Times New Roman" w:hAnsi="Times New Roman" w:cs="Times New Roman"/>
                <w:color w:val="000000" w:themeColor="text1"/>
                <w:sz w:val="21"/>
                <w:szCs w:val="21"/>
              </w:rPr>
            </w:pPr>
            <w:r w:rsidRPr="00207FFA">
              <w:rPr>
                <w:rFonts w:ascii="Times New Roman" w:hAnsi="Times New Roman" w:cs="Times New Roman"/>
                <w:color w:val="000000" w:themeColor="text1"/>
                <w:sz w:val="21"/>
                <w:szCs w:val="21"/>
              </w:rPr>
              <w:t xml:space="preserve">The average cost of co-pays for PCP visits in Germany are 10 euro ($15 in US), which is only paid every 3 months-not every visit. </w:t>
            </w:r>
            <w:r w:rsidR="00AA0AD6" w:rsidRPr="00207FFA">
              <w:rPr>
                <w:rFonts w:ascii="Times New Roman" w:hAnsi="Times New Roman" w:cs="Times New Roman"/>
                <w:color w:val="000000" w:themeColor="text1"/>
                <w:sz w:val="21"/>
                <w:szCs w:val="21"/>
              </w:rPr>
              <w:t xml:space="preserve">Annual cost for healthcare is around 4,500 euro/year. According to The Cost of Healthcare in Germany (2020), “The </w:t>
            </w:r>
            <w:r w:rsidR="003F6FA1" w:rsidRPr="00207FFA">
              <w:rPr>
                <w:rFonts w:ascii="Times New Roman" w:hAnsi="Times New Roman" w:cs="Times New Roman"/>
                <w:color w:val="000000" w:themeColor="text1"/>
                <w:sz w:val="21"/>
                <w:szCs w:val="21"/>
              </w:rPr>
              <w:t>German g</w:t>
            </w:r>
            <w:r w:rsidR="00AA0AD6" w:rsidRPr="00207FFA">
              <w:rPr>
                <w:rFonts w:ascii="Times New Roman" w:hAnsi="Times New Roman" w:cs="Times New Roman"/>
                <w:color w:val="000000" w:themeColor="text1"/>
                <w:sz w:val="21"/>
                <w:szCs w:val="21"/>
              </w:rPr>
              <w:t xml:space="preserve">overnment </w:t>
            </w:r>
            <w:r w:rsidR="003F6FA1" w:rsidRPr="00207FFA">
              <w:rPr>
                <w:rFonts w:ascii="Times New Roman" w:hAnsi="Times New Roman" w:cs="Times New Roman"/>
                <w:color w:val="000000" w:themeColor="text1"/>
                <w:sz w:val="21"/>
                <w:szCs w:val="21"/>
              </w:rPr>
              <w:t xml:space="preserve">heavily subsidizes the cost of the public healthcare system. Having a health insurance plan, either private or public, is mandatory by law, and there are penalties for not having adequate coverage.” Pregnant women pay nothing for prenatal healthcare, and if you lose your job, you still have to have health care coverage. </w:t>
            </w:r>
            <w:r w:rsidR="003F6FA1" w:rsidRPr="00207FFA">
              <w:rPr>
                <w:rFonts w:ascii="Times New Roman" w:hAnsi="Times New Roman" w:cs="Times New Roman"/>
                <w:color w:val="000000" w:themeColor="text1"/>
                <w:sz w:val="21"/>
                <w:szCs w:val="21"/>
              </w:rPr>
              <w:lastRenderedPageBreak/>
              <w:t>However, it is paid for out of the social security contributions</w:t>
            </w:r>
            <w:r w:rsidR="00436354" w:rsidRPr="00207FFA">
              <w:rPr>
                <w:rFonts w:ascii="Times New Roman" w:hAnsi="Times New Roman" w:cs="Times New Roman"/>
                <w:color w:val="000000" w:themeColor="text1"/>
                <w:sz w:val="21"/>
                <w:szCs w:val="21"/>
              </w:rPr>
              <w:t xml:space="preserve">, and it is only for medically necessary visits. </w:t>
            </w:r>
            <w:r w:rsidR="00AA0AD6" w:rsidRPr="00207FFA">
              <w:rPr>
                <w:rFonts w:ascii="Times New Roman" w:hAnsi="Times New Roman" w:cs="Times New Roman"/>
                <w:color w:val="000000" w:themeColor="text1"/>
                <w:sz w:val="21"/>
                <w:szCs w:val="21"/>
              </w:rPr>
              <w:t xml:space="preserve">Germans also spend around 630 euros per year on </w:t>
            </w:r>
            <w:r w:rsidRPr="00207FFA">
              <w:rPr>
                <w:rFonts w:ascii="Times New Roman" w:hAnsi="Times New Roman" w:cs="Times New Roman"/>
                <w:color w:val="000000" w:themeColor="text1"/>
                <w:sz w:val="21"/>
                <w:szCs w:val="21"/>
              </w:rPr>
              <w:t>Pharmaceutical</w:t>
            </w:r>
            <w:r w:rsidR="00AA0AD6" w:rsidRPr="00207FFA">
              <w:rPr>
                <w:rFonts w:ascii="Times New Roman" w:hAnsi="Times New Roman" w:cs="Times New Roman"/>
                <w:color w:val="000000" w:themeColor="text1"/>
                <w:sz w:val="21"/>
                <w:szCs w:val="21"/>
              </w:rPr>
              <w:t xml:space="preserve"> medicine. </w:t>
            </w:r>
            <w:r w:rsidRPr="00207FFA">
              <w:rPr>
                <w:rFonts w:ascii="Times New Roman" w:hAnsi="Times New Roman" w:cs="Times New Roman"/>
                <w:color w:val="000000" w:themeColor="text1"/>
                <w:sz w:val="21"/>
                <w:szCs w:val="21"/>
              </w:rPr>
              <w:t xml:space="preserve"> </w:t>
            </w:r>
          </w:p>
        </w:tc>
        <w:tc>
          <w:tcPr>
            <w:tcW w:w="2003" w:type="dxa"/>
          </w:tcPr>
          <w:p w14:paraId="7BE9252A" w14:textId="56F6E50E" w:rsidR="00D27002" w:rsidRPr="00207FFA" w:rsidRDefault="00436354">
            <w:pPr>
              <w:rPr>
                <w:rFonts w:ascii="Times New Roman" w:hAnsi="Times New Roman" w:cs="Times New Roman"/>
                <w:sz w:val="21"/>
                <w:szCs w:val="21"/>
              </w:rPr>
            </w:pPr>
            <w:r w:rsidRPr="00207FFA">
              <w:rPr>
                <w:rFonts w:ascii="Times New Roman" w:hAnsi="Times New Roman" w:cs="Times New Roman"/>
                <w:color w:val="000000" w:themeColor="text1"/>
                <w:sz w:val="21"/>
                <w:szCs w:val="21"/>
              </w:rPr>
              <w:lastRenderedPageBreak/>
              <w:t xml:space="preserve">The German government promotes disease prevention and well-being. According to </w:t>
            </w:r>
            <w:r w:rsidR="00C55532" w:rsidRPr="00207FFA">
              <w:rPr>
                <w:rFonts w:ascii="Times New Roman" w:hAnsi="Times New Roman" w:cs="Times New Roman"/>
                <w:color w:val="000000" w:themeColor="text1"/>
                <w:sz w:val="21"/>
                <w:szCs w:val="21"/>
              </w:rPr>
              <w:t xml:space="preserve">The Governance and Prevention in Germany (2016), “The 16 states have the legal responsibility for providing health services and each of them follow its own approach for prevention and health promotion. Most of the states have implemented associations for health promotion and prevention which include stakeholders from all spheres and multilateral funding of health promotion measures.” </w:t>
            </w:r>
          </w:p>
        </w:tc>
      </w:tr>
    </w:tbl>
    <w:p w14:paraId="52687AC9" w14:textId="77777777" w:rsidR="00D27002" w:rsidRPr="00207FFA" w:rsidRDefault="00D27002">
      <w:pPr>
        <w:rPr>
          <w:rFonts w:ascii="Times New Roman" w:hAnsi="Times New Roman" w:cs="Times New Roman"/>
          <w:sz w:val="21"/>
          <w:szCs w:val="21"/>
        </w:rPr>
      </w:pPr>
    </w:p>
    <w:p w14:paraId="4A0B6D98" w14:textId="77777777" w:rsidR="008747BA" w:rsidRPr="00207FFA" w:rsidRDefault="008747BA">
      <w:pPr>
        <w:rPr>
          <w:rFonts w:ascii="Times New Roman" w:hAnsi="Times New Roman" w:cs="Times New Roman"/>
          <w:sz w:val="21"/>
          <w:szCs w:val="21"/>
        </w:rPr>
      </w:pPr>
    </w:p>
    <w:p w14:paraId="2516319C" w14:textId="77777777" w:rsidR="008747BA" w:rsidRPr="00207FFA" w:rsidRDefault="008747BA">
      <w:pPr>
        <w:rPr>
          <w:rFonts w:ascii="Times New Roman" w:hAnsi="Times New Roman" w:cs="Times New Roman"/>
          <w:sz w:val="21"/>
          <w:szCs w:val="21"/>
        </w:rPr>
      </w:pPr>
    </w:p>
    <w:p w14:paraId="1630FAA4" w14:textId="77777777" w:rsidR="00207FFA" w:rsidRPr="00207FFA" w:rsidRDefault="00207FFA" w:rsidP="00207FFA">
      <w:pPr>
        <w:rPr>
          <w:rFonts w:ascii="Times New Roman" w:hAnsi="Times New Roman" w:cs="Times New Roman"/>
          <w:sz w:val="21"/>
          <w:szCs w:val="21"/>
        </w:rPr>
      </w:pPr>
    </w:p>
    <w:p w14:paraId="118F4EBD" w14:textId="77777777" w:rsidR="00207FFA" w:rsidRDefault="00207FFA" w:rsidP="00207FFA">
      <w:pPr>
        <w:rPr>
          <w:rFonts w:ascii="Times New Roman" w:hAnsi="Times New Roman" w:cs="Times New Roman"/>
          <w:sz w:val="21"/>
          <w:szCs w:val="21"/>
        </w:rPr>
      </w:pPr>
    </w:p>
    <w:p w14:paraId="5AA67D7A" w14:textId="77777777" w:rsidR="00207FFA" w:rsidRDefault="00207FFA" w:rsidP="00207FFA">
      <w:pPr>
        <w:rPr>
          <w:rFonts w:ascii="Times New Roman" w:hAnsi="Times New Roman" w:cs="Times New Roman"/>
          <w:sz w:val="21"/>
          <w:szCs w:val="21"/>
        </w:rPr>
      </w:pPr>
    </w:p>
    <w:p w14:paraId="0D3B4D2F" w14:textId="41CC6E0B" w:rsidR="00D27002" w:rsidRPr="00207FFA" w:rsidRDefault="00D27002" w:rsidP="00207FFA">
      <w:pPr>
        <w:rPr>
          <w:rFonts w:ascii="Times New Roman" w:hAnsi="Times New Roman" w:cs="Times New Roman"/>
          <w:sz w:val="21"/>
          <w:szCs w:val="21"/>
        </w:rPr>
      </w:pPr>
      <w:r w:rsidRPr="00207FFA">
        <w:rPr>
          <w:rFonts w:ascii="Times New Roman" w:hAnsi="Times New Roman" w:cs="Times New Roman"/>
          <w:sz w:val="21"/>
          <w:szCs w:val="21"/>
        </w:rPr>
        <w:lastRenderedPageBreak/>
        <w:t>References</w:t>
      </w:r>
      <w:r w:rsidR="00323572" w:rsidRPr="00207FFA">
        <w:rPr>
          <w:rFonts w:ascii="Times New Roman" w:hAnsi="Times New Roman" w:cs="Times New Roman"/>
          <w:sz w:val="21"/>
          <w:szCs w:val="21"/>
        </w:rPr>
        <w:t>:</w:t>
      </w:r>
    </w:p>
    <w:p w14:paraId="58C7BC49" w14:textId="018F1863" w:rsidR="00AA0AD6" w:rsidRPr="00207FFA" w:rsidRDefault="00AA0AD6">
      <w:pPr>
        <w:rPr>
          <w:rFonts w:ascii="Times New Roman" w:hAnsi="Times New Roman" w:cs="Times New Roman"/>
          <w:sz w:val="21"/>
          <w:szCs w:val="21"/>
        </w:rPr>
      </w:pPr>
    </w:p>
    <w:p w14:paraId="353DD13D" w14:textId="77777777" w:rsidR="00207FFA" w:rsidRPr="00207FFA" w:rsidRDefault="00207FFA" w:rsidP="00C55532">
      <w:pPr>
        <w:ind w:left="720" w:hanging="720"/>
        <w:rPr>
          <w:rFonts w:ascii="Times New Roman" w:hAnsi="Times New Roman" w:cs="Times New Roman"/>
          <w:color w:val="000000"/>
          <w:sz w:val="21"/>
          <w:szCs w:val="21"/>
          <w:shd w:val="clear" w:color="auto" w:fill="FFFFFF"/>
        </w:rPr>
      </w:pPr>
      <w:r w:rsidRPr="00207FFA">
        <w:rPr>
          <w:rFonts w:ascii="Times New Roman" w:hAnsi="Times New Roman" w:cs="Times New Roman"/>
          <w:color w:val="000000"/>
          <w:sz w:val="21"/>
          <w:szCs w:val="21"/>
          <w:shd w:val="clear" w:color="auto" w:fill="FFFFFF"/>
        </w:rPr>
        <w:t>Costs of Health Insurance in Germany. (2020). Retrieved 18 September 2020, from https://www.expatrio.com/living-germany/costs-living-germany/costs-health-insurance-germany#:</w:t>
      </w:r>
    </w:p>
    <w:p w14:paraId="1F90D499" w14:textId="77777777" w:rsidR="00207FFA" w:rsidRPr="00207FFA" w:rsidRDefault="00207FFA" w:rsidP="00B83463">
      <w:pPr>
        <w:pStyle w:val="NormalWeb"/>
        <w:ind w:left="567" w:hanging="567"/>
        <w:rPr>
          <w:color w:val="000000"/>
          <w:sz w:val="21"/>
          <w:szCs w:val="21"/>
        </w:rPr>
      </w:pPr>
      <w:r w:rsidRPr="00207FFA">
        <w:rPr>
          <w:color w:val="000000"/>
          <w:sz w:val="21"/>
          <w:szCs w:val="21"/>
          <w:shd w:val="clear" w:color="auto" w:fill="FFFFFF"/>
        </w:rPr>
        <w:t>The Governance of Prevention in Germany | Biomedicine &amp; Prevention. (2016). Retrieved 18 September 2020, from https://www.biomedicineandprevention.com/manuscript/governance-prevention-germany</w:t>
      </w:r>
    </w:p>
    <w:p w14:paraId="1238B758" w14:textId="77777777" w:rsidR="00207FFA" w:rsidRPr="00207FFA" w:rsidRDefault="00207FFA" w:rsidP="008747BA">
      <w:pPr>
        <w:pStyle w:val="NormalWeb"/>
        <w:rPr>
          <w:color w:val="000000"/>
          <w:sz w:val="21"/>
          <w:szCs w:val="21"/>
        </w:rPr>
      </w:pPr>
      <w:r w:rsidRPr="00207FFA">
        <w:rPr>
          <w:color w:val="000000"/>
          <w:sz w:val="21"/>
          <w:szCs w:val="21"/>
        </w:rPr>
        <w:t>The World Factbook: Germany. (2018, February 01). Retrieved September 17, 2020, from https://www.cia.gov/library/publications/the-world-factbook/geos/gm.html</w:t>
      </w:r>
    </w:p>
    <w:p w14:paraId="24DE6291" w14:textId="77777777" w:rsidR="00207FFA" w:rsidRPr="00207FFA" w:rsidRDefault="00207FFA" w:rsidP="008747BA">
      <w:pPr>
        <w:pStyle w:val="NormalWeb"/>
        <w:ind w:left="567" w:hanging="567"/>
        <w:rPr>
          <w:color w:val="000000"/>
          <w:sz w:val="21"/>
          <w:szCs w:val="21"/>
        </w:rPr>
      </w:pPr>
      <w:r w:rsidRPr="00207FFA">
        <w:rPr>
          <w:color w:val="000000"/>
          <w:sz w:val="21"/>
          <w:szCs w:val="21"/>
        </w:rPr>
        <w:t>Sick around the world. (2008). Retrieved September 17, 2020, from https://www.pbs.org/wgbh/frontline/film/sickaroundtheworld/</w:t>
      </w:r>
    </w:p>
    <w:p w14:paraId="027825FA" w14:textId="77777777" w:rsidR="00207FFA" w:rsidRPr="00207FFA" w:rsidRDefault="00207FFA" w:rsidP="00B83463">
      <w:pPr>
        <w:pStyle w:val="NormalWeb"/>
        <w:ind w:left="567" w:hanging="567"/>
        <w:rPr>
          <w:color w:val="000000"/>
          <w:sz w:val="21"/>
          <w:szCs w:val="21"/>
          <w:shd w:val="clear" w:color="auto" w:fill="FFFFFF"/>
        </w:rPr>
      </w:pPr>
      <w:proofErr w:type="spellStart"/>
      <w:r w:rsidRPr="00207FFA">
        <w:rPr>
          <w:color w:val="000000"/>
          <w:sz w:val="21"/>
          <w:szCs w:val="21"/>
        </w:rPr>
        <w:t>Tikkanen</w:t>
      </w:r>
      <w:proofErr w:type="spellEnd"/>
      <w:r w:rsidRPr="00207FFA">
        <w:rPr>
          <w:color w:val="000000"/>
          <w:sz w:val="21"/>
          <w:szCs w:val="21"/>
        </w:rPr>
        <w:t>, R. (2020, June 05). Germany. Retrieved September 17, 2020, from https://www.commonwealthfund.org/international-health-policy-center/countries/germany</w:t>
      </w:r>
      <w:r w:rsidRPr="00207FFA">
        <w:rPr>
          <w:color w:val="000000"/>
          <w:sz w:val="21"/>
          <w:szCs w:val="21"/>
          <w:shd w:val="clear" w:color="auto" w:fill="FFFFFF"/>
        </w:rPr>
        <w:t xml:space="preserve"> </w:t>
      </w:r>
    </w:p>
    <w:p w14:paraId="00519239" w14:textId="77777777" w:rsidR="00D27002" w:rsidRDefault="00D27002">
      <w:pPr>
        <w:rPr>
          <w:rFonts w:asciiTheme="majorHAnsi" w:hAnsiTheme="majorHAnsi"/>
        </w:rPr>
      </w:pPr>
    </w:p>
    <w:sectPr w:rsidR="00D27002" w:rsidSect="00D27002">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8F712" w14:textId="77777777" w:rsidR="00325D1F" w:rsidRDefault="00325D1F" w:rsidP="00D27002">
      <w:r>
        <w:separator/>
      </w:r>
    </w:p>
  </w:endnote>
  <w:endnote w:type="continuationSeparator" w:id="0">
    <w:p w14:paraId="082E9C24" w14:textId="77777777" w:rsidR="00325D1F" w:rsidRDefault="00325D1F" w:rsidP="00D2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3D658" w14:textId="53FCC35E" w:rsidR="00D27002" w:rsidRPr="00D27002" w:rsidRDefault="00D27002">
    <w:pPr>
      <w:pStyle w:val="Footer"/>
      <w:rPr>
        <w:rFonts w:asciiTheme="majorHAnsi" w:hAnsiTheme="majorHAnsi"/>
      </w:rPr>
    </w:pPr>
    <w:r w:rsidRPr="00D27002">
      <w:rPr>
        <w:rFonts w:asciiTheme="majorHAnsi" w:hAnsiTheme="majorHAnsi"/>
      </w:rPr>
      <w:t>N</w:t>
    </w:r>
    <w:r w:rsidR="005A5001">
      <w:rPr>
        <w:rFonts w:asciiTheme="majorHAnsi" w:hAnsiTheme="majorHAnsi"/>
      </w:rPr>
      <w:t xml:space="preserve">URS 5010 </w:t>
    </w:r>
    <w:r w:rsidR="00323572">
      <w:rPr>
        <w:rFonts w:asciiTheme="majorHAnsi" w:hAnsiTheme="majorHAnsi"/>
      </w:rPr>
      <w:t>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893BE" w14:textId="77777777" w:rsidR="00325D1F" w:rsidRDefault="00325D1F" w:rsidP="00D27002">
      <w:r>
        <w:separator/>
      </w:r>
    </w:p>
  </w:footnote>
  <w:footnote w:type="continuationSeparator" w:id="0">
    <w:p w14:paraId="5B426C66" w14:textId="77777777" w:rsidR="00325D1F" w:rsidRDefault="00325D1F" w:rsidP="00D2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EF5E" w14:textId="17F20233" w:rsidR="00D27002" w:rsidRPr="00207FFA" w:rsidRDefault="00D27002" w:rsidP="00D27002">
    <w:pPr>
      <w:pStyle w:val="Header"/>
      <w:jc w:val="right"/>
      <w:rPr>
        <w:rFonts w:ascii="Times New Roman" w:hAnsi="Times New Roman" w:cs="Times New Roman"/>
      </w:rPr>
    </w:pPr>
    <w:r w:rsidRPr="00207FFA">
      <w:rPr>
        <w:rFonts w:ascii="Times New Roman" w:hAnsi="Times New Roman" w:cs="Times New Roman"/>
      </w:rPr>
      <w:t xml:space="preserve">Team members: </w:t>
    </w:r>
    <w:r w:rsidR="00F201FC" w:rsidRPr="00207FFA">
      <w:rPr>
        <w:rFonts w:ascii="Times New Roman" w:hAnsi="Times New Roman" w:cs="Times New Roman"/>
      </w:rPr>
      <w:t xml:space="preserve"> Eric Beaulieu &amp; Ang</w:t>
    </w:r>
    <w:r w:rsidR="00624626" w:rsidRPr="00207FFA">
      <w:rPr>
        <w:rFonts w:ascii="Times New Roman" w:hAnsi="Times New Roman" w:cs="Times New Roman"/>
      </w:rPr>
      <w:t xml:space="preserve">el </w:t>
    </w:r>
    <w:r w:rsidR="00F201FC" w:rsidRPr="00207FFA">
      <w:rPr>
        <w:rFonts w:ascii="Times New Roman" w:hAnsi="Times New Roman" w:cs="Times New Roman"/>
      </w:rPr>
      <w:t xml:space="preserve">Hobbs </w:t>
    </w:r>
    <w:r w:rsidRPr="00207FFA">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04714A"/>
    <w:multiLevelType w:val="multilevel"/>
    <w:tmpl w:val="C78A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5E7728"/>
    <w:multiLevelType w:val="multilevel"/>
    <w:tmpl w:val="1B8E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02"/>
    <w:rsid w:val="0008569A"/>
    <w:rsid w:val="000F13E6"/>
    <w:rsid w:val="001B5016"/>
    <w:rsid w:val="00207FFA"/>
    <w:rsid w:val="002B70A8"/>
    <w:rsid w:val="002D7C9C"/>
    <w:rsid w:val="00323572"/>
    <w:rsid w:val="00325D1F"/>
    <w:rsid w:val="003F6FA1"/>
    <w:rsid w:val="00436354"/>
    <w:rsid w:val="005A5001"/>
    <w:rsid w:val="00624626"/>
    <w:rsid w:val="007178F8"/>
    <w:rsid w:val="008747BA"/>
    <w:rsid w:val="00922A32"/>
    <w:rsid w:val="009D0950"/>
    <w:rsid w:val="00A2767B"/>
    <w:rsid w:val="00A72824"/>
    <w:rsid w:val="00AA0AD6"/>
    <w:rsid w:val="00AF5C47"/>
    <w:rsid w:val="00B83463"/>
    <w:rsid w:val="00C55532"/>
    <w:rsid w:val="00D07F7C"/>
    <w:rsid w:val="00D27002"/>
    <w:rsid w:val="00D84050"/>
    <w:rsid w:val="00DB4363"/>
    <w:rsid w:val="00F201FC"/>
    <w:rsid w:val="00F2455F"/>
    <w:rsid w:val="00F66403"/>
    <w:rsid w:val="00FA3F53"/>
    <w:rsid w:val="00FA668A"/>
    <w:rsid w:val="00FD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EF127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7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002"/>
    <w:pPr>
      <w:tabs>
        <w:tab w:val="center" w:pos="4320"/>
        <w:tab w:val="right" w:pos="8640"/>
      </w:tabs>
    </w:pPr>
  </w:style>
  <w:style w:type="character" w:customStyle="1" w:styleId="HeaderChar">
    <w:name w:val="Header Char"/>
    <w:basedOn w:val="DefaultParagraphFont"/>
    <w:link w:val="Header"/>
    <w:uiPriority w:val="99"/>
    <w:rsid w:val="00D27002"/>
  </w:style>
  <w:style w:type="paragraph" w:styleId="Footer">
    <w:name w:val="footer"/>
    <w:basedOn w:val="Normal"/>
    <w:link w:val="FooterChar"/>
    <w:uiPriority w:val="99"/>
    <w:unhideWhenUsed/>
    <w:rsid w:val="00D27002"/>
    <w:pPr>
      <w:tabs>
        <w:tab w:val="center" w:pos="4320"/>
        <w:tab w:val="right" w:pos="8640"/>
      </w:tabs>
    </w:pPr>
  </w:style>
  <w:style w:type="character" w:customStyle="1" w:styleId="FooterChar">
    <w:name w:val="Footer Char"/>
    <w:basedOn w:val="DefaultParagraphFont"/>
    <w:link w:val="Footer"/>
    <w:uiPriority w:val="99"/>
    <w:rsid w:val="00D27002"/>
  </w:style>
  <w:style w:type="paragraph" w:styleId="NormalWeb">
    <w:name w:val="Normal (Web)"/>
    <w:basedOn w:val="Normal"/>
    <w:uiPriority w:val="99"/>
    <w:unhideWhenUsed/>
    <w:rsid w:val="0062462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72824"/>
    <w:rPr>
      <w:i/>
      <w:iCs/>
    </w:rPr>
  </w:style>
  <w:style w:type="character" w:styleId="Strong">
    <w:name w:val="Strong"/>
    <w:basedOn w:val="DefaultParagraphFont"/>
    <w:uiPriority w:val="22"/>
    <w:qFormat/>
    <w:rsid w:val="003F6FA1"/>
    <w:rPr>
      <w:b/>
      <w:bCs/>
    </w:rPr>
  </w:style>
  <w:style w:type="character" w:styleId="Hyperlink">
    <w:name w:val="Hyperlink"/>
    <w:basedOn w:val="DefaultParagraphFont"/>
    <w:uiPriority w:val="99"/>
    <w:unhideWhenUsed/>
    <w:rsid w:val="00C55532"/>
    <w:rPr>
      <w:color w:val="0000FF" w:themeColor="hyperlink"/>
      <w:u w:val="single"/>
    </w:rPr>
  </w:style>
  <w:style w:type="character" w:styleId="UnresolvedMention">
    <w:name w:val="Unresolved Mention"/>
    <w:basedOn w:val="DefaultParagraphFont"/>
    <w:uiPriority w:val="99"/>
    <w:rsid w:val="00C55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21080">
      <w:bodyDiv w:val="1"/>
      <w:marLeft w:val="0"/>
      <w:marRight w:val="0"/>
      <w:marTop w:val="0"/>
      <w:marBottom w:val="0"/>
      <w:divBdr>
        <w:top w:val="none" w:sz="0" w:space="0" w:color="auto"/>
        <w:left w:val="none" w:sz="0" w:space="0" w:color="auto"/>
        <w:bottom w:val="none" w:sz="0" w:space="0" w:color="auto"/>
        <w:right w:val="none" w:sz="0" w:space="0" w:color="auto"/>
      </w:divBdr>
    </w:div>
    <w:div w:id="760875051">
      <w:bodyDiv w:val="1"/>
      <w:marLeft w:val="0"/>
      <w:marRight w:val="0"/>
      <w:marTop w:val="0"/>
      <w:marBottom w:val="0"/>
      <w:divBdr>
        <w:top w:val="none" w:sz="0" w:space="0" w:color="auto"/>
        <w:left w:val="none" w:sz="0" w:space="0" w:color="auto"/>
        <w:bottom w:val="none" w:sz="0" w:space="0" w:color="auto"/>
        <w:right w:val="none" w:sz="0" w:space="0" w:color="auto"/>
      </w:divBdr>
    </w:div>
    <w:div w:id="784157766">
      <w:bodyDiv w:val="1"/>
      <w:marLeft w:val="0"/>
      <w:marRight w:val="0"/>
      <w:marTop w:val="0"/>
      <w:marBottom w:val="0"/>
      <w:divBdr>
        <w:top w:val="none" w:sz="0" w:space="0" w:color="auto"/>
        <w:left w:val="none" w:sz="0" w:space="0" w:color="auto"/>
        <w:bottom w:val="none" w:sz="0" w:space="0" w:color="auto"/>
        <w:right w:val="none" w:sz="0" w:space="0" w:color="auto"/>
      </w:divBdr>
    </w:div>
    <w:div w:id="825779873">
      <w:bodyDiv w:val="1"/>
      <w:marLeft w:val="0"/>
      <w:marRight w:val="0"/>
      <w:marTop w:val="0"/>
      <w:marBottom w:val="0"/>
      <w:divBdr>
        <w:top w:val="none" w:sz="0" w:space="0" w:color="auto"/>
        <w:left w:val="none" w:sz="0" w:space="0" w:color="auto"/>
        <w:bottom w:val="none" w:sz="0" w:space="0" w:color="auto"/>
        <w:right w:val="none" w:sz="0" w:space="0" w:color="auto"/>
      </w:divBdr>
    </w:div>
    <w:div w:id="1169372052">
      <w:bodyDiv w:val="1"/>
      <w:marLeft w:val="0"/>
      <w:marRight w:val="0"/>
      <w:marTop w:val="0"/>
      <w:marBottom w:val="0"/>
      <w:divBdr>
        <w:top w:val="none" w:sz="0" w:space="0" w:color="auto"/>
        <w:left w:val="none" w:sz="0" w:space="0" w:color="auto"/>
        <w:bottom w:val="none" w:sz="0" w:space="0" w:color="auto"/>
        <w:right w:val="none" w:sz="0" w:space="0" w:color="auto"/>
      </w:divBdr>
    </w:div>
    <w:div w:id="1968272829">
      <w:bodyDiv w:val="1"/>
      <w:marLeft w:val="0"/>
      <w:marRight w:val="0"/>
      <w:marTop w:val="0"/>
      <w:marBottom w:val="0"/>
      <w:divBdr>
        <w:top w:val="none" w:sz="0" w:space="0" w:color="auto"/>
        <w:left w:val="none" w:sz="0" w:space="0" w:color="auto"/>
        <w:bottom w:val="none" w:sz="0" w:space="0" w:color="auto"/>
        <w:right w:val="none" w:sz="0" w:space="0" w:color="auto"/>
      </w:divBdr>
    </w:div>
    <w:div w:id="2083017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King College</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Knowles</dc:creator>
  <cp:keywords/>
  <dc:description/>
  <cp:lastModifiedBy>Karen Dean</cp:lastModifiedBy>
  <cp:revision>2</cp:revision>
  <dcterms:created xsi:type="dcterms:W3CDTF">2020-09-18T02:37:00Z</dcterms:created>
  <dcterms:modified xsi:type="dcterms:W3CDTF">2020-09-18T02:37:00Z</dcterms:modified>
</cp:coreProperties>
</file>